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6F4C15DE"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4A6356">
        <w:rPr>
          <w:rFonts w:ascii="ＭＳ 明朝" w:hAnsi="ＭＳ 明朝"/>
          <w:sz w:val="24"/>
        </w:rPr>
        <w:t>6</w:t>
      </w:r>
      <w:r w:rsidRPr="00F05103">
        <w:rPr>
          <w:rFonts w:ascii="ＭＳ 明朝" w:hAnsi="ＭＳ 明朝" w:hint="eastAsia"/>
          <w:sz w:val="24"/>
        </w:rPr>
        <w:t>日（</w:t>
      </w:r>
      <w:r w:rsidR="004A6356">
        <w:rPr>
          <w:rFonts w:ascii="ＭＳ 明朝" w:hAnsi="ＭＳ 明朝" w:hint="eastAsia"/>
          <w:sz w:val="24"/>
        </w:rPr>
        <w:t>火</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4A6356">
        <w:rPr>
          <w:rFonts w:ascii="ＭＳ 明朝" w:hAnsi="ＭＳ 明朝"/>
          <w:sz w:val="24"/>
        </w:rPr>
        <w:t>2</w:t>
      </w:r>
      <w:r w:rsidRPr="00F05103">
        <w:rPr>
          <w:rFonts w:ascii="ＭＳ 明朝" w:hAnsi="ＭＳ 明朝" w:hint="eastAsia"/>
          <w:sz w:val="24"/>
        </w:rPr>
        <w:t>日</w:t>
      </w:r>
      <w:r w:rsidRPr="00F05103">
        <w:rPr>
          <w:rFonts w:ascii="ＭＳ 明朝" w:hAnsi="ＭＳ 明朝"/>
          <w:sz w:val="24"/>
        </w:rPr>
        <w:t>(</w:t>
      </w:r>
      <w:r w:rsidR="004A6356">
        <w:rPr>
          <w:rFonts w:ascii="ＭＳ 明朝" w:hAnsi="ＭＳ 明朝" w:hint="eastAsia"/>
          <w:sz w:val="24"/>
        </w:rPr>
        <w:t>金</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58414F99"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市立第三中学校外２校校舎棟トイレ改修工事監理業務委託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63298853"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7C5BAA">
        <w:rPr>
          <w:rFonts w:ascii="ＭＳ 明朝" w:hAnsi="ＭＳ 明朝"/>
          <w:sz w:val="24"/>
        </w:rPr>
        <w:t>1</w:t>
      </w:r>
      <w:r w:rsidRPr="00F13C28">
        <w:rPr>
          <w:rFonts w:ascii="ＭＳ 明朝" w:hAnsi="ＭＳ 明朝" w:hint="eastAsia"/>
          <w:sz w:val="24"/>
        </w:rPr>
        <w:t>日（</w:t>
      </w:r>
      <w:r w:rsidR="007C5BAA">
        <w:rPr>
          <w:rFonts w:ascii="ＭＳ 明朝" w:hAnsi="ＭＳ 明朝" w:hint="eastAsia"/>
          <w:sz w:val="24"/>
        </w:rPr>
        <w:t>木</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7B62FC08" w14:textId="77777777" w:rsidR="00384454" w:rsidRPr="00384454" w:rsidRDefault="00384454" w:rsidP="00F13C28">
      <w:pPr>
        <w:ind w:leftChars="447" w:left="992" w:firstLineChars="100" w:firstLine="252"/>
        <w:rPr>
          <w:rFonts w:ascii="ＭＳ 明朝" w:hAnsi="ＭＳ 明朝"/>
          <w:sz w:val="24"/>
        </w:rPr>
      </w:pPr>
      <w:bookmarkStart w:id="0" w:name="_GoBack"/>
      <w:bookmarkEnd w:id="0"/>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lastRenderedPageBreak/>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1232"/>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6436-AF43-4D96-BF82-7814C954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6</cp:revision>
  <cp:lastPrinted>2026-03-17T07:51:00Z</cp:lastPrinted>
  <dcterms:created xsi:type="dcterms:W3CDTF">2026-04-14T23:37:00Z</dcterms:created>
  <dcterms:modified xsi:type="dcterms:W3CDTF">2026-04-16T06:03:00Z</dcterms:modified>
</cp:coreProperties>
</file>