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CD27" w14:textId="760C832D" w:rsidR="0022683D" w:rsidRPr="00E713DC" w:rsidRDefault="0022683D" w:rsidP="0022683D">
      <w:pPr>
        <w:rPr>
          <w:rFonts w:asciiTheme="minorEastAsia" w:eastAsiaTheme="minorEastAsia" w:hAnsiTheme="minorEastAsia"/>
        </w:rPr>
      </w:pPr>
      <w:bookmarkStart w:id="0" w:name="_GoBack"/>
      <w:bookmarkEnd w:id="0"/>
      <w:r w:rsidRPr="00E17938">
        <w:rPr>
          <w:rFonts w:asciiTheme="minorEastAsia" w:eastAsiaTheme="minorEastAsia" w:hAnsiTheme="minorEastAsia" w:hint="eastAsia"/>
        </w:rPr>
        <w:t>（別紙１）</w:t>
      </w:r>
    </w:p>
    <w:tbl>
      <w:tblPr>
        <w:tblStyle w:val="a9"/>
        <w:tblW w:w="15468" w:type="dxa"/>
        <w:tblLayout w:type="fixed"/>
        <w:tblLook w:val="04A0" w:firstRow="1" w:lastRow="0" w:firstColumn="1" w:lastColumn="0" w:noHBand="0" w:noVBand="1"/>
      </w:tblPr>
      <w:tblGrid>
        <w:gridCol w:w="375"/>
        <w:gridCol w:w="13083"/>
        <w:gridCol w:w="1290"/>
        <w:gridCol w:w="720"/>
      </w:tblGrid>
      <w:tr w:rsidR="0022683D" w:rsidRPr="005654AA" w14:paraId="4365F542" w14:textId="77777777" w:rsidTr="008731A0">
        <w:trPr>
          <w:trHeight w:val="162"/>
        </w:trPr>
        <w:tc>
          <w:tcPr>
            <w:tcW w:w="13458" w:type="dxa"/>
            <w:gridSpan w:val="2"/>
            <w:tcBorders>
              <w:top w:val="single" w:sz="8" w:space="0" w:color="auto"/>
              <w:left w:val="single" w:sz="8" w:space="0" w:color="auto"/>
            </w:tcBorders>
            <w:shd w:val="clear" w:color="auto" w:fill="EEECE1" w:themeFill="background2"/>
          </w:tcPr>
          <w:p w14:paraId="2A212610" w14:textId="77777777" w:rsidR="0022683D" w:rsidRPr="005654AA" w:rsidRDefault="0022683D" w:rsidP="0022683D">
            <w:pPr>
              <w:jc w:val="center"/>
              <w:rPr>
                <w:rFonts w:asciiTheme="minorEastAsia" w:eastAsiaTheme="minorEastAsia" w:hAnsiTheme="minorEastAsia"/>
              </w:rPr>
            </w:pPr>
            <w:r w:rsidRPr="008731A0">
              <w:rPr>
                <w:rFonts w:asciiTheme="minorEastAsia" w:eastAsiaTheme="minorEastAsia" w:hAnsiTheme="minorEastAsia" w:hint="eastAsia"/>
              </w:rPr>
              <w:t>届出書添付書類</w:t>
            </w:r>
          </w:p>
        </w:tc>
        <w:tc>
          <w:tcPr>
            <w:tcW w:w="1290" w:type="dxa"/>
            <w:tcBorders>
              <w:top w:val="single" w:sz="8" w:space="0" w:color="auto"/>
            </w:tcBorders>
            <w:shd w:val="clear" w:color="auto" w:fill="EEECE1" w:themeFill="background2"/>
          </w:tcPr>
          <w:p w14:paraId="54BE05EF" w14:textId="77777777" w:rsidR="0022683D" w:rsidRPr="0022683D" w:rsidRDefault="0022683D" w:rsidP="0022683D">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22683D">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290" w:type="dxa"/>
            <w:tcBorders>
              <w:bottom w:val="nil"/>
            </w:tcBorders>
          </w:tcPr>
          <w:p w14:paraId="70B2513E"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bottom w:val="nil"/>
              <w:right w:val="single" w:sz="8" w:space="0" w:color="auto"/>
            </w:tcBorders>
          </w:tcPr>
          <w:p w14:paraId="03E3BDA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22683D">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2804F1">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2804F1">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F93D3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22683D">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22683D">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290" w:type="dxa"/>
            <w:tcBorders>
              <w:top w:val="nil"/>
              <w:bottom w:val="dashSmallGap" w:sz="4" w:space="0" w:color="auto"/>
            </w:tcBorders>
          </w:tcPr>
          <w:p w14:paraId="5ADABF89" w14:textId="4D2218CA"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nil"/>
              <w:bottom w:val="dashSmallGap" w:sz="4" w:space="0" w:color="auto"/>
              <w:right w:val="single" w:sz="8" w:space="0" w:color="auto"/>
            </w:tcBorders>
          </w:tcPr>
          <w:p w14:paraId="60FA888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22683D">
        <w:trPr>
          <w:trHeight w:val="198"/>
        </w:trPr>
        <w:tc>
          <w:tcPr>
            <w:tcW w:w="375" w:type="dxa"/>
            <w:vMerge/>
            <w:tcBorders>
              <w:left w:val="single" w:sz="8" w:space="0" w:color="auto"/>
            </w:tcBorders>
            <w:shd w:val="clear" w:color="auto" w:fill="EEECE1" w:themeFill="background2"/>
          </w:tcPr>
          <w:p w14:paraId="2EA27ADA" w14:textId="03AE0F90"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290" w:type="dxa"/>
            <w:tcBorders>
              <w:top w:val="dashSmallGap" w:sz="4" w:space="0" w:color="auto"/>
              <w:bottom w:val="dashSmallGap" w:sz="4" w:space="0" w:color="auto"/>
            </w:tcBorders>
          </w:tcPr>
          <w:p w14:paraId="4F2AFD4B" w14:textId="63D90E7D"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20" w:type="dxa"/>
            <w:tcBorders>
              <w:top w:val="dashSmallGap" w:sz="4" w:space="0" w:color="auto"/>
              <w:bottom w:val="dashSmallGap" w:sz="4" w:space="0" w:color="auto"/>
              <w:right w:val="single" w:sz="8" w:space="0" w:color="auto"/>
            </w:tcBorders>
          </w:tcPr>
          <w:p w14:paraId="3F43FEB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22683D">
        <w:trPr>
          <w:trHeight w:val="227"/>
        </w:trPr>
        <w:tc>
          <w:tcPr>
            <w:tcW w:w="375" w:type="dxa"/>
            <w:vMerge/>
            <w:tcBorders>
              <w:left w:val="single" w:sz="8" w:space="0" w:color="auto"/>
            </w:tcBorders>
            <w:shd w:val="clear" w:color="auto" w:fill="EEECE1" w:themeFill="background2"/>
          </w:tcPr>
          <w:p w14:paraId="73BF6A1D"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49521604" w14:textId="190DC4E1"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20" w:type="dxa"/>
            <w:tcBorders>
              <w:top w:val="dashSmallGap" w:sz="4" w:space="0" w:color="auto"/>
              <w:bottom w:val="dashSmallGap" w:sz="4" w:space="0" w:color="auto"/>
              <w:right w:val="single" w:sz="8" w:space="0" w:color="auto"/>
            </w:tcBorders>
          </w:tcPr>
          <w:p w14:paraId="6D237D0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22683D">
        <w:trPr>
          <w:trHeight w:val="219"/>
        </w:trPr>
        <w:tc>
          <w:tcPr>
            <w:tcW w:w="375" w:type="dxa"/>
            <w:vMerge/>
            <w:tcBorders>
              <w:left w:val="single" w:sz="8" w:space="0" w:color="auto"/>
            </w:tcBorders>
            <w:shd w:val="clear" w:color="auto" w:fill="EEECE1" w:themeFill="background2"/>
          </w:tcPr>
          <w:p w14:paraId="5070D0AB"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52A378C0" w14:textId="0D7F5668"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20" w:type="dxa"/>
            <w:tcBorders>
              <w:top w:val="dashSmallGap" w:sz="4" w:space="0" w:color="auto"/>
              <w:bottom w:val="dashSmallGap" w:sz="4" w:space="0" w:color="auto"/>
              <w:right w:val="single" w:sz="8" w:space="0" w:color="auto"/>
            </w:tcBorders>
          </w:tcPr>
          <w:p w14:paraId="645C43F3"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22683D">
        <w:trPr>
          <w:trHeight w:val="207"/>
        </w:trPr>
        <w:tc>
          <w:tcPr>
            <w:tcW w:w="375" w:type="dxa"/>
            <w:vMerge/>
            <w:tcBorders>
              <w:left w:val="single" w:sz="8" w:space="0" w:color="auto"/>
            </w:tcBorders>
            <w:shd w:val="clear" w:color="auto" w:fill="EEECE1" w:themeFill="background2"/>
          </w:tcPr>
          <w:p w14:paraId="3751ED65"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560641DC" w14:textId="7784105E"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20" w:type="dxa"/>
            <w:tcBorders>
              <w:top w:val="dashSmallGap" w:sz="4" w:space="0" w:color="auto"/>
              <w:bottom w:val="dashSmallGap" w:sz="4" w:space="0" w:color="auto"/>
              <w:right w:val="single" w:sz="8" w:space="0" w:color="auto"/>
            </w:tcBorders>
          </w:tcPr>
          <w:p w14:paraId="49196F5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22683D">
        <w:trPr>
          <w:trHeight w:val="196"/>
        </w:trPr>
        <w:tc>
          <w:tcPr>
            <w:tcW w:w="375" w:type="dxa"/>
            <w:vMerge/>
            <w:tcBorders>
              <w:left w:val="single" w:sz="8" w:space="0" w:color="auto"/>
            </w:tcBorders>
            <w:shd w:val="clear" w:color="auto" w:fill="EEECE1" w:themeFill="background2"/>
          </w:tcPr>
          <w:p w14:paraId="6642CA1A"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4091CBB8"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20" w:type="dxa"/>
            <w:tcBorders>
              <w:top w:val="dashSmallGap" w:sz="4" w:space="0" w:color="auto"/>
              <w:bottom w:val="dashSmallGap" w:sz="4" w:space="0" w:color="auto"/>
              <w:right w:val="single" w:sz="8" w:space="0" w:color="auto"/>
            </w:tcBorders>
          </w:tcPr>
          <w:p w14:paraId="344134A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22683D">
        <w:trPr>
          <w:trHeight w:val="198"/>
        </w:trPr>
        <w:tc>
          <w:tcPr>
            <w:tcW w:w="375" w:type="dxa"/>
            <w:vMerge/>
            <w:tcBorders>
              <w:left w:val="single" w:sz="8" w:space="0" w:color="auto"/>
            </w:tcBorders>
            <w:shd w:val="clear" w:color="auto" w:fill="EEECE1" w:themeFill="background2"/>
          </w:tcPr>
          <w:p w14:paraId="2DD2AF28"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52E155D9"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dashSmallGap" w:sz="4" w:space="0" w:color="auto"/>
              <w:bottom w:val="single" w:sz="4" w:space="0" w:color="auto"/>
              <w:right w:val="single" w:sz="8" w:space="0" w:color="auto"/>
            </w:tcBorders>
          </w:tcPr>
          <w:p w14:paraId="29A746C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22683D">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290" w:type="dxa"/>
            <w:tcBorders>
              <w:top w:val="single" w:sz="4" w:space="0" w:color="auto"/>
              <w:bottom w:val="nil"/>
            </w:tcBorders>
          </w:tcPr>
          <w:p w14:paraId="4DAD6A2C"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single" w:sz="4" w:space="0" w:color="auto"/>
              <w:bottom w:val="nil"/>
              <w:right w:val="single" w:sz="8" w:space="0" w:color="auto"/>
            </w:tcBorders>
          </w:tcPr>
          <w:p w14:paraId="10CF0B5B"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22683D">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22683D">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B743F0">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B743F0">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0B4FC9">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332862" w:rsidRDefault="00332862" w:rsidP="0022683D">
            <w:pPr>
              <w:spacing w:line="280" w:lineRule="exact"/>
              <w:ind w:firstLineChars="200" w:firstLine="414"/>
              <w:rPr>
                <w:rFonts w:asciiTheme="minorEastAsia" w:eastAsiaTheme="minorEastAsia" w:hAnsiTheme="minorEastAsia"/>
                <w:sz w:val="18"/>
                <w:szCs w:val="18"/>
              </w:rPr>
            </w:pPr>
          </w:p>
        </w:tc>
        <w:tc>
          <w:tcPr>
            <w:tcW w:w="1290" w:type="dxa"/>
            <w:tcBorders>
              <w:top w:val="nil"/>
              <w:bottom w:val="single" w:sz="8" w:space="0" w:color="auto"/>
            </w:tcBorders>
          </w:tcPr>
          <w:p w14:paraId="0DEF3824" w14:textId="09730349"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22683D">
            <w:pPr>
              <w:spacing w:line="280" w:lineRule="exact"/>
              <w:rPr>
                <w:rFonts w:asciiTheme="minorEastAsia" w:eastAsiaTheme="minorEastAsia" w:hAnsiTheme="minorEastAsia"/>
                <w:sz w:val="16"/>
                <w:szCs w:val="16"/>
              </w:rPr>
            </w:pPr>
          </w:p>
          <w:p w14:paraId="446A12A6" w14:textId="77777777" w:rsidR="0022683D" w:rsidRPr="0022683D" w:rsidRDefault="0022683D" w:rsidP="0022683D">
            <w:pPr>
              <w:spacing w:line="280" w:lineRule="exact"/>
              <w:rPr>
                <w:rFonts w:asciiTheme="minorEastAsia" w:eastAsiaTheme="minorEastAsia" w:hAnsiTheme="minorEastAsia"/>
                <w:sz w:val="16"/>
                <w:szCs w:val="16"/>
              </w:rPr>
            </w:pPr>
          </w:p>
          <w:p w14:paraId="7670B05E" w14:textId="77777777" w:rsid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22683D">
            <w:pPr>
              <w:spacing w:line="280" w:lineRule="exact"/>
              <w:jc w:val="center"/>
              <w:rPr>
                <w:rFonts w:asciiTheme="minorEastAsia" w:eastAsiaTheme="minorEastAsia" w:hAnsiTheme="minorEastAsia"/>
                <w:sz w:val="16"/>
                <w:szCs w:val="16"/>
              </w:rPr>
            </w:pPr>
          </w:p>
          <w:p w14:paraId="76919F9E" w14:textId="77777777" w:rsidR="007E6838" w:rsidRDefault="007E6838" w:rsidP="0022683D">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7E6838">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22683D">
            <w:pPr>
              <w:spacing w:line="280" w:lineRule="exact"/>
              <w:jc w:val="center"/>
              <w:rPr>
                <w:rFonts w:asciiTheme="minorEastAsia" w:eastAsiaTheme="minorEastAsia" w:hAnsiTheme="minorEastAsia"/>
                <w:sz w:val="16"/>
                <w:szCs w:val="16"/>
              </w:rPr>
            </w:pPr>
          </w:p>
        </w:tc>
        <w:tc>
          <w:tcPr>
            <w:tcW w:w="720" w:type="dxa"/>
            <w:tcBorders>
              <w:top w:val="nil"/>
              <w:bottom w:val="single" w:sz="8" w:space="0" w:color="auto"/>
              <w:right w:val="single" w:sz="8" w:space="0" w:color="auto"/>
            </w:tcBorders>
          </w:tcPr>
          <w:p w14:paraId="1F57A817"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22683D">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284BDFEE"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22683D">
            <w:pPr>
              <w:spacing w:line="280" w:lineRule="exact"/>
              <w:jc w:val="center"/>
              <w:rPr>
                <w:rFonts w:asciiTheme="minorEastAsia" w:eastAsiaTheme="minorEastAsia" w:hAnsiTheme="minorEastAsia"/>
                <w:sz w:val="18"/>
                <w:szCs w:val="18"/>
              </w:rPr>
            </w:pPr>
          </w:p>
          <w:p w14:paraId="361B36F1" w14:textId="77777777" w:rsidR="007E6838" w:rsidRDefault="007E6838" w:rsidP="0022683D">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7E6838">
            <w:pPr>
              <w:spacing w:line="280" w:lineRule="exact"/>
              <w:jc w:val="left"/>
              <w:rPr>
                <w:rFonts w:asciiTheme="minorEastAsia" w:eastAsiaTheme="minorEastAsia" w:hAnsiTheme="minorEastAsia"/>
                <w:sz w:val="18"/>
                <w:szCs w:val="18"/>
              </w:rPr>
            </w:pPr>
          </w:p>
        </w:tc>
      </w:tr>
      <w:tr w:rsidR="008731A0" w:rsidRPr="00607923" w14:paraId="627A6083" w14:textId="77777777" w:rsidTr="002C1239">
        <w:trPr>
          <w:trHeight w:val="539"/>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2C1239">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届出書添付書類</w:t>
            </w:r>
          </w:p>
        </w:tc>
        <w:tc>
          <w:tcPr>
            <w:tcW w:w="1290" w:type="dxa"/>
            <w:tcBorders>
              <w:top w:val="single" w:sz="4" w:space="0" w:color="auto"/>
              <w:bottom w:val="single" w:sz="8" w:space="0" w:color="auto"/>
            </w:tcBorders>
            <w:shd w:val="clear" w:color="auto" w:fill="EEECE1" w:themeFill="background2"/>
          </w:tcPr>
          <w:p w14:paraId="2F246193" w14:textId="76F4D81A" w:rsidR="008731A0" w:rsidRPr="0022683D" w:rsidRDefault="002C1239"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4" w:space="0" w:color="auto"/>
              <w:bottom w:val="single" w:sz="8" w:space="0" w:color="auto"/>
              <w:right w:val="single" w:sz="8" w:space="0" w:color="auto"/>
            </w:tcBorders>
            <w:shd w:val="clear" w:color="auto" w:fill="EEECE1" w:themeFill="background2"/>
          </w:tcPr>
          <w:p w14:paraId="21C01F38" w14:textId="7BACB7A9" w:rsidR="008731A0" w:rsidRPr="00607923" w:rsidRDefault="002C1239"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B743F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2F3BDE">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22683D">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B7A15">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290" w:type="dxa"/>
            <w:tcBorders>
              <w:top w:val="single" w:sz="8" w:space="0" w:color="auto"/>
              <w:bottom w:val="dashSmallGap" w:sz="4" w:space="0" w:color="auto"/>
            </w:tcBorders>
          </w:tcPr>
          <w:p w14:paraId="307EF614" w14:textId="559A107A" w:rsidR="0022683D" w:rsidRPr="0022683D" w:rsidRDefault="00C5429F"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B7A15">
            <w:pPr>
              <w:spacing w:line="280" w:lineRule="exact"/>
              <w:jc w:val="left"/>
              <w:rPr>
                <w:rFonts w:asciiTheme="minorEastAsia" w:eastAsiaTheme="minorEastAsia" w:hAnsiTheme="minorEastAsia"/>
                <w:sz w:val="15"/>
                <w:szCs w:val="15"/>
              </w:rPr>
            </w:pPr>
          </w:p>
        </w:tc>
        <w:tc>
          <w:tcPr>
            <w:tcW w:w="720" w:type="dxa"/>
            <w:tcBorders>
              <w:top w:val="single" w:sz="8" w:space="0" w:color="auto"/>
              <w:bottom w:val="dashSmallGap" w:sz="4" w:space="0" w:color="auto"/>
              <w:right w:val="single" w:sz="8" w:space="0" w:color="auto"/>
            </w:tcBorders>
          </w:tcPr>
          <w:p w14:paraId="18B6CF00" w14:textId="1BBDA063" w:rsidR="0022683D" w:rsidRPr="00607923" w:rsidRDefault="0022683D"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0B20F4D" w14:textId="77777777" w:rsidR="0022683D" w:rsidRDefault="0022683D" w:rsidP="002F3BDE">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35882FB"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B7A15">
            <w:pPr>
              <w:spacing w:line="280" w:lineRule="exact"/>
              <w:jc w:val="left"/>
              <w:rPr>
                <w:rFonts w:asciiTheme="minorEastAsia" w:eastAsiaTheme="minorEastAsia" w:hAnsiTheme="minorEastAsia"/>
                <w:sz w:val="18"/>
                <w:szCs w:val="18"/>
              </w:rPr>
            </w:pPr>
          </w:p>
        </w:tc>
      </w:tr>
      <w:tr w:rsidR="0022683D" w:rsidRPr="00607923" w14:paraId="45160EEA" w14:textId="77777777" w:rsidTr="0022683D">
        <w:trPr>
          <w:trHeight w:val="324"/>
        </w:trPr>
        <w:tc>
          <w:tcPr>
            <w:tcW w:w="375" w:type="dxa"/>
            <w:vMerge/>
            <w:tcBorders>
              <w:left w:val="single" w:sz="8" w:space="0" w:color="auto"/>
            </w:tcBorders>
            <w:shd w:val="clear" w:color="auto" w:fill="EEECE1" w:themeFill="background2"/>
          </w:tcPr>
          <w:p w14:paraId="280EDD71"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290" w:type="dxa"/>
            <w:tcBorders>
              <w:top w:val="dashSmallGap" w:sz="4" w:space="0" w:color="auto"/>
              <w:bottom w:val="nil"/>
            </w:tcBorders>
          </w:tcPr>
          <w:p w14:paraId="2D85AC08" w14:textId="77777777" w:rsidR="0022683D" w:rsidRPr="0022683D" w:rsidRDefault="0022683D"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20" w:type="dxa"/>
            <w:tcBorders>
              <w:top w:val="dashSmallGap" w:sz="4" w:space="0" w:color="auto"/>
              <w:bottom w:val="nil"/>
              <w:right w:val="single" w:sz="8" w:space="0" w:color="auto"/>
            </w:tcBorders>
          </w:tcPr>
          <w:p w14:paraId="7C257C14"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F43F66">
        <w:trPr>
          <w:trHeight w:val="897"/>
        </w:trPr>
        <w:tc>
          <w:tcPr>
            <w:tcW w:w="375" w:type="dxa"/>
            <w:vMerge/>
            <w:tcBorders>
              <w:left w:val="single" w:sz="8" w:space="0" w:color="auto"/>
            </w:tcBorders>
            <w:shd w:val="clear" w:color="auto" w:fill="EEECE1" w:themeFill="background2"/>
          </w:tcPr>
          <w:p w14:paraId="7A47066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C44849">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C44849">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4FC487F9"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nil"/>
              <w:bottom w:val="dashSmallGap" w:sz="4" w:space="0" w:color="auto"/>
              <w:right w:val="single" w:sz="8" w:space="0" w:color="auto"/>
            </w:tcBorders>
          </w:tcPr>
          <w:p w14:paraId="41A14328" w14:textId="77777777" w:rsidR="0022683D" w:rsidRPr="00607923" w:rsidRDefault="0022683D"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C44849">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22683D">
        <w:trPr>
          <w:trHeight w:val="249"/>
        </w:trPr>
        <w:tc>
          <w:tcPr>
            <w:tcW w:w="375" w:type="dxa"/>
            <w:vMerge/>
            <w:tcBorders>
              <w:left w:val="single" w:sz="8" w:space="0" w:color="auto"/>
            </w:tcBorders>
            <w:shd w:val="clear" w:color="auto" w:fill="EEECE1" w:themeFill="background2"/>
          </w:tcPr>
          <w:p w14:paraId="5A4C760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B7A15">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0A953EBD" w14:textId="1276F0D0"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20" w:type="dxa"/>
            <w:tcBorders>
              <w:top w:val="dashSmallGap" w:sz="4" w:space="0" w:color="auto"/>
              <w:bottom w:val="dashSmallGap" w:sz="4" w:space="0" w:color="auto"/>
              <w:right w:val="single" w:sz="8" w:space="0" w:color="auto"/>
            </w:tcBorders>
          </w:tcPr>
          <w:p w14:paraId="1A949D2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22683D">
        <w:trPr>
          <w:trHeight w:val="249"/>
        </w:trPr>
        <w:tc>
          <w:tcPr>
            <w:tcW w:w="375" w:type="dxa"/>
            <w:vMerge/>
            <w:tcBorders>
              <w:left w:val="single" w:sz="8" w:space="0" w:color="auto"/>
            </w:tcBorders>
            <w:shd w:val="clear" w:color="auto" w:fill="EEECE1" w:themeFill="background2"/>
          </w:tcPr>
          <w:p w14:paraId="6579508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B7A15">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6542B92B"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20" w:type="dxa"/>
            <w:tcBorders>
              <w:top w:val="dashSmallGap" w:sz="4" w:space="0" w:color="auto"/>
              <w:bottom w:val="dashSmallGap" w:sz="4" w:space="0" w:color="auto"/>
              <w:right w:val="single" w:sz="8" w:space="0" w:color="auto"/>
            </w:tcBorders>
          </w:tcPr>
          <w:p w14:paraId="4BC68AB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22683D">
        <w:trPr>
          <w:trHeight w:val="249"/>
        </w:trPr>
        <w:tc>
          <w:tcPr>
            <w:tcW w:w="375" w:type="dxa"/>
            <w:vMerge/>
            <w:tcBorders>
              <w:left w:val="single" w:sz="8" w:space="0" w:color="auto"/>
            </w:tcBorders>
            <w:shd w:val="clear" w:color="auto" w:fill="EEECE1" w:themeFill="background2"/>
          </w:tcPr>
          <w:p w14:paraId="0B3F328C"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290" w:type="dxa"/>
            <w:tcBorders>
              <w:top w:val="dashSmallGap" w:sz="4" w:space="0" w:color="auto"/>
              <w:bottom w:val="dashSmallGap" w:sz="4" w:space="0" w:color="auto"/>
            </w:tcBorders>
          </w:tcPr>
          <w:p w14:paraId="40E5EA96" w14:textId="7555CBAB" w:rsidR="0022683D" w:rsidRPr="00C5429F" w:rsidRDefault="00C5429F"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20" w:type="dxa"/>
            <w:tcBorders>
              <w:top w:val="dashSmallGap" w:sz="4" w:space="0" w:color="auto"/>
              <w:bottom w:val="dashSmallGap" w:sz="4" w:space="0" w:color="auto"/>
              <w:right w:val="single" w:sz="8" w:space="0" w:color="auto"/>
            </w:tcBorders>
          </w:tcPr>
          <w:p w14:paraId="4F65586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22683D">
        <w:trPr>
          <w:trHeight w:val="249"/>
        </w:trPr>
        <w:tc>
          <w:tcPr>
            <w:tcW w:w="375" w:type="dxa"/>
            <w:vMerge/>
            <w:tcBorders>
              <w:left w:val="single" w:sz="8" w:space="0" w:color="auto"/>
            </w:tcBorders>
            <w:shd w:val="clear" w:color="auto" w:fill="EEECE1" w:themeFill="background2"/>
          </w:tcPr>
          <w:p w14:paraId="1F40AB8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5E866B4B" w14:textId="6626858A"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20" w:type="dxa"/>
            <w:tcBorders>
              <w:top w:val="dashSmallGap" w:sz="4" w:space="0" w:color="auto"/>
              <w:bottom w:val="dashSmallGap" w:sz="4" w:space="0" w:color="auto"/>
              <w:right w:val="single" w:sz="8" w:space="0" w:color="auto"/>
            </w:tcBorders>
          </w:tcPr>
          <w:p w14:paraId="65CF08F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22683D">
        <w:trPr>
          <w:trHeight w:val="249"/>
        </w:trPr>
        <w:tc>
          <w:tcPr>
            <w:tcW w:w="375" w:type="dxa"/>
            <w:vMerge/>
            <w:tcBorders>
              <w:left w:val="single" w:sz="8" w:space="0" w:color="auto"/>
            </w:tcBorders>
            <w:shd w:val="clear" w:color="auto" w:fill="EEECE1" w:themeFill="background2"/>
          </w:tcPr>
          <w:p w14:paraId="26BC3E99"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B7A15">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676211A5" w14:textId="7773608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20" w:type="dxa"/>
            <w:tcBorders>
              <w:top w:val="dashSmallGap" w:sz="4" w:space="0" w:color="auto"/>
              <w:bottom w:val="dashSmallGap" w:sz="4" w:space="0" w:color="auto"/>
              <w:right w:val="single" w:sz="8" w:space="0" w:color="auto"/>
            </w:tcBorders>
          </w:tcPr>
          <w:p w14:paraId="384BCBC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22683D">
        <w:trPr>
          <w:trHeight w:val="249"/>
        </w:trPr>
        <w:tc>
          <w:tcPr>
            <w:tcW w:w="375" w:type="dxa"/>
            <w:vMerge/>
            <w:tcBorders>
              <w:left w:val="single" w:sz="8" w:space="0" w:color="auto"/>
            </w:tcBorders>
            <w:shd w:val="clear" w:color="auto" w:fill="EEECE1" w:themeFill="background2"/>
          </w:tcPr>
          <w:p w14:paraId="06495FD6"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1C18D539" w14:textId="665E3D3A"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20" w:type="dxa"/>
            <w:tcBorders>
              <w:top w:val="dashSmallGap" w:sz="4" w:space="0" w:color="auto"/>
              <w:bottom w:val="dashSmallGap" w:sz="4" w:space="0" w:color="auto"/>
              <w:right w:val="single" w:sz="8" w:space="0" w:color="auto"/>
            </w:tcBorders>
          </w:tcPr>
          <w:p w14:paraId="7FB8B96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22683D">
        <w:trPr>
          <w:trHeight w:val="249"/>
        </w:trPr>
        <w:tc>
          <w:tcPr>
            <w:tcW w:w="375" w:type="dxa"/>
            <w:vMerge/>
            <w:tcBorders>
              <w:left w:val="single" w:sz="8" w:space="0" w:color="auto"/>
            </w:tcBorders>
            <w:shd w:val="clear" w:color="auto" w:fill="EEECE1" w:themeFill="background2"/>
          </w:tcPr>
          <w:p w14:paraId="5EA50182"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756AFE">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290" w:type="dxa"/>
            <w:tcBorders>
              <w:top w:val="dashSmallGap" w:sz="4" w:space="0" w:color="auto"/>
              <w:bottom w:val="dashSmallGap" w:sz="4" w:space="0" w:color="auto"/>
            </w:tcBorders>
          </w:tcPr>
          <w:p w14:paraId="23638017" w14:textId="77EDE9CC" w:rsidR="0022683D" w:rsidRPr="0022683D" w:rsidRDefault="00384D77"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3B35BAA9"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22683D">
        <w:trPr>
          <w:trHeight w:val="249"/>
        </w:trPr>
        <w:tc>
          <w:tcPr>
            <w:tcW w:w="375" w:type="dxa"/>
            <w:vMerge/>
            <w:tcBorders>
              <w:left w:val="single" w:sz="8" w:space="0" w:color="auto"/>
            </w:tcBorders>
            <w:shd w:val="clear" w:color="auto" w:fill="EEECE1" w:themeFill="background2"/>
          </w:tcPr>
          <w:p w14:paraId="61922CA8" w14:textId="77777777" w:rsidR="002F3BDE" w:rsidRPr="00607923" w:rsidRDefault="002F3BDE"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290" w:type="dxa"/>
            <w:tcBorders>
              <w:top w:val="dashSmallGap" w:sz="4" w:space="0" w:color="auto"/>
              <w:bottom w:val="dashSmallGap" w:sz="4" w:space="0" w:color="auto"/>
            </w:tcBorders>
          </w:tcPr>
          <w:p w14:paraId="7C83D8BC" w14:textId="19AD53C9" w:rsidR="002F3BDE" w:rsidRDefault="00756AFE"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691E9297" w14:textId="01963EF8" w:rsidR="002F3BDE" w:rsidRPr="00607923" w:rsidRDefault="00756AFE"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22683D">
        <w:trPr>
          <w:trHeight w:val="249"/>
        </w:trPr>
        <w:tc>
          <w:tcPr>
            <w:tcW w:w="375" w:type="dxa"/>
            <w:vMerge/>
            <w:tcBorders>
              <w:left w:val="single" w:sz="8" w:space="0" w:color="auto"/>
            </w:tcBorders>
            <w:shd w:val="clear" w:color="auto" w:fill="EEECE1" w:themeFill="background2"/>
          </w:tcPr>
          <w:p w14:paraId="11C3FFB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290" w:type="dxa"/>
            <w:tcBorders>
              <w:top w:val="dashSmallGap" w:sz="4" w:space="0" w:color="auto"/>
              <w:bottom w:val="dashSmallGap" w:sz="4" w:space="0" w:color="auto"/>
            </w:tcBorders>
          </w:tcPr>
          <w:p w14:paraId="5CA3452C" w14:textId="485FB67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20" w:type="dxa"/>
            <w:tcBorders>
              <w:top w:val="dashSmallGap" w:sz="4" w:space="0" w:color="auto"/>
              <w:bottom w:val="dashSmallGap" w:sz="4" w:space="0" w:color="auto"/>
              <w:right w:val="single" w:sz="8" w:space="0" w:color="auto"/>
            </w:tcBorders>
          </w:tcPr>
          <w:p w14:paraId="7EA18F2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22683D">
        <w:trPr>
          <w:trHeight w:val="249"/>
        </w:trPr>
        <w:tc>
          <w:tcPr>
            <w:tcW w:w="375" w:type="dxa"/>
            <w:vMerge/>
            <w:tcBorders>
              <w:left w:val="single" w:sz="8" w:space="0" w:color="auto"/>
            </w:tcBorders>
            <w:shd w:val="clear" w:color="auto" w:fill="EEECE1" w:themeFill="background2"/>
          </w:tcPr>
          <w:p w14:paraId="4E094B9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3DA43BBC" w14:textId="29C76E0C"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20" w:type="dxa"/>
            <w:tcBorders>
              <w:top w:val="dashSmallGap" w:sz="4" w:space="0" w:color="auto"/>
              <w:bottom w:val="dashSmallGap" w:sz="4" w:space="0" w:color="auto"/>
              <w:right w:val="single" w:sz="8" w:space="0" w:color="auto"/>
            </w:tcBorders>
          </w:tcPr>
          <w:p w14:paraId="6094761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22683D">
        <w:trPr>
          <w:trHeight w:val="249"/>
        </w:trPr>
        <w:tc>
          <w:tcPr>
            <w:tcW w:w="375" w:type="dxa"/>
            <w:vMerge/>
            <w:tcBorders>
              <w:left w:val="single" w:sz="8" w:space="0" w:color="auto"/>
            </w:tcBorders>
            <w:shd w:val="clear" w:color="auto" w:fill="EEECE1" w:themeFill="background2"/>
          </w:tcPr>
          <w:p w14:paraId="728FBCE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08B3F526" w14:textId="259FAD9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20" w:type="dxa"/>
            <w:tcBorders>
              <w:top w:val="dashSmallGap" w:sz="4" w:space="0" w:color="auto"/>
              <w:bottom w:val="dashSmallGap" w:sz="4" w:space="0" w:color="auto"/>
              <w:right w:val="single" w:sz="8" w:space="0" w:color="auto"/>
            </w:tcBorders>
          </w:tcPr>
          <w:p w14:paraId="7AD0600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8731A0">
        <w:trPr>
          <w:trHeight w:val="140"/>
        </w:trPr>
        <w:tc>
          <w:tcPr>
            <w:tcW w:w="375" w:type="dxa"/>
            <w:vMerge/>
            <w:tcBorders>
              <w:left w:val="single" w:sz="8" w:space="0" w:color="auto"/>
            </w:tcBorders>
            <w:shd w:val="clear" w:color="auto" w:fill="EEECE1" w:themeFill="background2"/>
          </w:tcPr>
          <w:p w14:paraId="15DBAE8F"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32BF5DBF" w14:textId="79D4129C"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20" w:type="dxa"/>
            <w:tcBorders>
              <w:top w:val="dashSmallGap" w:sz="4" w:space="0" w:color="auto"/>
              <w:bottom w:val="dashSmallGap" w:sz="4" w:space="0" w:color="auto"/>
              <w:right w:val="single" w:sz="8" w:space="0" w:color="auto"/>
            </w:tcBorders>
          </w:tcPr>
          <w:p w14:paraId="727C24A0"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22683D">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1EC5D130" w14:textId="26EBD67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20" w:type="dxa"/>
            <w:tcBorders>
              <w:top w:val="dashSmallGap" w:sz="4" w:space="0" w:color="auto"/>
              <w:bottom w:val="single" w:sz="8" w:space="0" w:color="auto"/>
              <w:right w:val="single" w:sz="8" w:space="0" w:color="auto"/>
            </w:tcBorders>
          </w:tcPr>
          <w:p w14:paraId="25F6F0D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71574858" w14:textId="77777777" w:rsidR="00D22B79" w:rsidRPr="001403FF" w:rsidRDefault="00D22B79" w:rsidP="00DE7BEA">
      <w:pPr>
        <w:widowControl/>
      </w:pPr>
    </w:p>
    <w:sectPr w:rsidR="00D22B79" w:rsidRPr="001403FF" w:rsidSect="00DE7BEA">
      <w:footerReference w:type="default" r:id="rId8"/>
      <w:pgSz w:w="16838" w:h="11906" w:orient="landscape" w:code="9"/>
      <w:pgMar w:top="720" w:right="720" w:bottom="720" w:left="720" w:header="624" w:footer="340" w:gutter="0"/>
      <w:cols w:space="425"/>
      <w:docGrid w:type="linesAndChars" w:linePitch="368" w:charSpace="54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133"/>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15" Type="http://schemas.microsoft.com/office/2011/relationships/people" Target="people.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 Id="rId14"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